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22ACB90F" w:rsidR="00F04F71" w:rsidRPr="008B7BCC" w:rsidRDefault="008B7BCC" w:rsidP="00F04F71">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00F04F71" w:rsidRPr="008B7BCC">
        <w:rPr>
          <w:rFonts w:ascii="Calibri Light" w:eastAsia="Calibri" w:hAnsi="Calibri Light" w:cs="Calibri Light"/>
          <w:b/>
          <w:bCs/>
          <w:sz w:val="32"/>
          <w:szCs w:val="32"/>
          <w:lang w:val="en-US"/>
        </w:rPr>
        <w:t xml:space="preserve"> </w:t>
      </w:r>
      <w:r w:rsidR="008E6671">
        <w:rPr>
          <w:rFonts w:ascii="Calibri Light" w:eastAsia="Calibri" w:hAnsi="Calibri Light" w:cs="Calibri Light"/>
          <w:b/>
          <w:bCs/>
          <w:sz w:val="32"/>
          <w:szCs w:val="32"/>
          <w:lang w:val="en-US"/>
        </w:rPr>
        <w:t>PC 145.0</w:t>
      </w:r>
      <w:r w:rsidR="005A22CB">
        <w:rPr>
          <w:rFonts w:ascii="Calibri Light" w:eastAsia="Calibri" w:hAnsi="Calibri Light" w:cs="Calibri Light"/>
          <w:b/>
          <w:bCs/>
          <w:sz w:val="32"/>
          <w:szCs w:val="32"/>
          <w:lang w:val="en-US"/>
        </w:rPr>
        <w:t>7</w:t>
      </w:r>
      <w:r w:rsidR="008E6671">
        <w:rPr>
          <w:rFonts w:ascii="Calibri Light" w:eastAsia="Calibri" w:hAnsi="Calibri Light" w:cs="Calibri Light"/>
          <w:b/>
          <w:bCs/>
          <w:sz w:val="32"/>
          <w:szCs w:val="32"/>
          <w:lang w:val="en-US"/>
        </w:rPr>
        <w:t>0 - 202</w:t>
      </w:r>
      <w:r w:rsidR="006C357F">
        <w:rPr>
          <w:rFonts w:ascii="Calibri Light" w:eastAsia="Calibri" w:hAnsi="Calibri Light" w:cs="Calibri Light"/>
          <w:b/>
          <w:bCs/>
          <w:sz w:val="32"/>
          <w:szCs w:val="32"/>
          <w:lang w:val="en-US"/>
        </w:rPr>
        <w:t>6</w:t>
      </w:r>
    </w:p>
    <w:p w14:paraId="731E4BE2" w14:textId="77777777" w:rsidR="00F04F71" w:rsidRPr="008B7BCC" w:rsidRDefault="00F04F71" w:rsidP="00F04F71">
      <w:pPr>
        <w:spacing w:after="0" w:line="200" w:lineRule="atLeast"/>
        <w:jc w:val="center"/>
        <w:rPr>
          <w:rFonts w:asciiTheme="majorHAnsi" w:eastAsia="Times New Roman" w:hAnsiTheme="majorHAnsi" w:cs="Calibri Light"/>
          <w:sz w:val="17"/>
          <w:szCs w:val="17"/>
          <w:u w:val="single"/>
          <w:lang w:val="en-US"/>
        </w:rPr>
      </w:pPr>
    </w:p>
    <w:p w14:paraId="23EABA4A" w14:textId="0D13B6FF" w:rsidR="00F04F71" w:rsidRDefault="008B7BCC" w:rsidP="00F04F71">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A03F11A" w14:textId="77777777" w:rsidR="008B7BCC" w:rsidRPr="008B7BCC" w:rsidRDefault="008B7BCC" w:rsidP="00F04F71">
      <w:pPr>
        <w:spacing w:after="0" w:line="200" w:lineRule="atLeast"/>
        <w:rPr>
          <w:rFonts w:asciiTheme="majorHAnsi" w:hAnsiTheme="majorHAnsi" w:cstheme="majorHAnsi"/>
          <w:sz w:val="18"/>
          <w:szCs w:val="18"/>
          <w:lang w:val="en-US"/>
        </w:rPr>
      </w:pPr>
    </w:p>
    <w:p w14:paraId="72841B6D" w14:textId="77777777" w:rsidR="008B7BCC" w:rsidRPr="008B7BCC" w:rsidRDefault="008B7BCC" w:rsidP="008B7BCC">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511D2A6B" w14:textId="090AE7DA" w:rsidR="008B7BCC" w:rsidRPr="008B7BCC"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274539A7" w14:textId="66F13498" w:rsidR="00F04F71" w:rsidRDefault="008B7BCC" w:rsidP="008B7BCC">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755E6E97" w14:textId="77777777" w:rsidR="008B7BCC" w:rsidRPr="008B7BCC" w:rsidRDefault="008B7BCC" w:rsidP="008B7BCC">
      <w:pPr>
        <w:spacing w:after="0" w:line="200" w:lineRule="atLeast"/>
        <w:rPr>
          <w:rFonts w:asciiTheme="majorHAnsi" w:hAnsiTheme="majorHAnsi" w:cstheme="majorHAnsi"/>
          <w:sz w:val="18"/>
          <w:szCs w:val="18"/>
          <w:lang w:val="en-US"/>
        </w:rPr>
      </w:pPr>
    </w:p>
    <w:p w14:paraId="07D1E5C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49DE244" w14:textId="1A68D485"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1A28B525" w14:textId="77777777" w:rsidR="008B7BCC" w:rsidRPr="008B7BCC" w:rsidRDefault="008B7BCC" w:rsidP="008B7BCC">
      <w:pPr>
        <w:spacing w:after="0" w:line="200" w:lineRule="atLeast"/>
        <w:rPr>
          <w:rFonts w:asciiTheme="majorHAnsi" w:hAnsiTheme="majorHAnsi" w:cstheme="majorHAnsi"/>
          <w:bCs/>
          <w:sz w:val="18"/>
          <w:szCs w:val="18"/>
          <w:lang w:val="en-US"/>
        </w:rPr>
      </w:pPr>
    </w:p>
    <w:p w14:paraId="6894EFB8"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6083096F" w14:textId="27D0EC74" w:rsidR="00F04F71" w:rsidRDefault="008B7BCC" w:rsidP="008B7BCC">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6748CFF6" w14:textId="77777777" w:rsidR="008B7BCC" w:rsidRDefault="008B7BCC" w:rsidP="008B7BCC">
      <w:pPr>
        <w:spacing w:after="0" w:line="200" w:lineRule="atLeast"/>
        <w:rPr>
          <w:rFonts w:asciiTheme="majorHAnsi" w:hAnsiTheme="majorHAnsi" w:cstheme="majorHAnsi"/>
          <w:bCs/>
          <w:sz w:val="18"/>
          <w:szCs w:val="18"/>
          <w:lang w:val="en-US"/>
        </w:rPr>
      </w:pPr>
    </w:p>
    <w:p w14:paraId="57CDFF41" w14:textId="77777777" w:rsidR="008B7BCC" w:rsidRPr="008B7BCC" w:rsidRDefault="008B7BCC" w:rsidP="008B7BCC">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76CF6481"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163D90D6" w14:textId="77777777" w:rsidR="008B7BCC" w:rsidRP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2A3A75A6" w14:textId="77777777" w:rsidR="00554D80" w:rsidRDefault="008B7BCC" w:rsidP="00554D80">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53E8CC9B" w14:textId="23FFDFD3"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28882F5D" w14:textId="00126F82" w:rsidR="008B7BCC" w:rsidRDefault="00554D80"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008B7BCC" w:rsidRPr="008B7BCC">
        <w:rPr>
          <w:rFonts w:asciiTheme="majorHAnsi" w:hAnsiTheme="majorHAnsi" w:cstheme="majorHAnsi"/>
          <w:bCs/>
          <w:sz w:val="18"/>
          <w:szCs w:val="18"/>
          <w:lang w:val="en-US"/>
        </w:rPr>
        <w:t>the date: day and month suffice.</w:t>
      </w:r>
    </w:p>
    <w:p w14:paraId="6356776B" w14:textId="77777777" w:rsidR="00554D80" w:rsidRDefault="008B7BCC" w:rsidP="00554D80">
      <w:pPr>
        <w:pStyle w:val="Lijstalinea"/>
        <w:numPr>
          <w:ilvl w:val="2"/>
          <w:numId w:val="9"/>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5259D6DC" w14:textId="27EA51F2" w:rsidR="008B7BCC" w:rsidRPr="00554D80" w:rsidRDefault="008B7BCC" w:rsidP="00554D80">
      <w:pPr>
        <w:pStyle w:val="Lijstalinea"/>
        <w:numPr>
          <w:ilvl w:val="1"/>
          <w:numId w:val="9"/>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5D096175"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756AD52C" w14:textId="77777777"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5512761D" w14:textId="0E6A3BEB" w:rsidR="008B7BCC" w:rsidRDefault="008B7BCC" w:rsidP="008B7BCC">
      <w:pPr>
        <w:pStyle w:val="Lijstalinea"/>
        <w:numPr>
          <w:ilvl w:val="0"/>
          <w:numId w:val="9"/>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5DE0D923" w14:textId="77777777" w:rsidR="008B7BCC" w:rsidRPr="008B7BCC" w:rsidRDefault="008B7BCC" w:rsidP="008B7BCC">
      <w:pPr>
        <w:pStyle w:val="Lijstalinea"/>
        <w:spacing w:after="0" w:line="200" w:lineRule="atLeast"/>
        <w:ind w:left="426"/>
        <w:rPr>
          <w:rFonts w:asciiTheme="majorHAnsi" w:hAnsiTheme="majorHAnsi" w:cstheme="majorHAnsi"/>
          <w:bCs/>
          <w:sz w:val="18"/>
          <w:szCs w:val="18"/>
          <w:lang w:val="en-US"/>
        </w:rPr>
      </w:pPr>
    </w:p>
    <w:p w14:paraId="72BD37C4" w14:textId="77777777" w:rsidR="00554D80" w:rsidRDefault="00554D80" w:rsidP="00554D80">
      <w:pPr>
        <w:tabs>
          <w:tab w:val="left" w:pos="284"/>
        </w:tabs>
        <w:spacing w:after="0" w:line="200" w:lineRule="atLeast"/>
        <w:rPr>
          <w:rFonts w:asciiTheme="majorHAnsi" w:hAnsiTheme="majorHAnsi" w:cstheme="majorHAnsi"/>
          <w:bCs/>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67445E47" w14:textId="77777777" w:rsidR="00EA6356" w:rsidRDefault="00EA6356" w:rsidP="00554D80">
      <w:pPr>
        <w:tabs>
          <w:tab w:val="left" w:pos="284"/>
        </w:tabs>
        <w:spacing w:after="0" w:line="200" w:lineRule="atLeast"/>
        <w:rPr>
          <w:rFonts w:asciiTheme="majorHAnsi" w:hAnsiTheme="majorHAnsi" w:cstheme="majorHAnsi"/>
          <w:b/>
          <w:sz w:val="18"/>
          <w:szCs w:val="18"/>
          <w:lang w:val="en-US"/>
        </w:rPr>
      </w:pPr>
    </w:p>
    <w:p w14:paraId="78B1783D" w14:textId="7BB2E1C2"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w:t>
      </w:r>
      <w:r w:rsidR="00D434F5">
        <w:rPr>
          <w:rFonts w:asciiTheme="majorHAnsi" w:hAnsiTheme="majorHAnsi" w:cstheme="majorHAnsi"/>
          <w:bCs/>
          <w:sz w:val="18"/>
          <w:szCs w:val="18"/>
          <w:lang w:val="en-US"/>
        </w:rPr>
        <w:t>50</w:t>
      </w:r>
      <w:r w:rsidRPr="00554D80">
        <w:rPr>
          <w:rFonts w:asciiTheme="majorHAnsi" w:hAnsiTheme="majorHAnsi" w:cstheme="majorHAnsi"/>
          <w:bCs/>
          <w:sz w:val="18"/>
          <w:szCs w:val="18"/>
          <w:lang w:val="en-US"/>
        </w:rPr>
        <w:t xml:space="preserve"> days in a calendar year, you are entitled to an end-of-year bonus the following year (in July).  This is </w:t>
      </w:r>
      <w:r w:rsidRPr="008E6671">
        <w:rPr>
          <w:rFonts w:asciiTheme="majorHAnsi" w:hAnsiTheme="majorHAnsi" w:cstheme="majorHAnsi"/>
          <w:bCs/>
          <w:sz w:val="18"/>
          <w:szCs w:val="18"/>
          <w:lang w:val="en-US"/>
        </w:rPr>
        <w:t>currently €</w:t>
      </w:r>
      <w:r w:rsidR="00EA6356">
        <w:rPr>
          <w:rFonts w:asciiTheme="majorHAnsi" w:hAnsiTheme="majorHAnsi" w:cstheme="majorHAnsi"/>
          <w:bCs/>
          <w:sz w:val="18"/>
          <w:szCs w:val="18"/>
          <w:lang w:val="en-US"/>
        </w:rPr>
        <w:t>235,55</w:t>
      </w:r>
      <w:r w:rsidRPr="008E6671">
        <w:rPr>
          <w:rFonts w:asciiTheme="majorHAnsi" w:hAnsiTheme="majorHAnsi" w:cstheme="majorHAnsi"/>
          <w:bCs/>
          <w:sz w:val="18"/>
          <w:szCs w:val="18"/>
          <w:lang w:val="en-US"/>
        </w:rPr>
        <w:t xml:space="preserve"> 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39C16B62" w14:textId="7BCE9B28" w:rsidR="00554D80" w:rsidRPr="008E6671"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6CB8461B" w14:textId="77777777" w:rsidR="00EA6356" w:rsidRPr="00EA6356" w:rsidRDefault="00EA6356"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EA6356">
        <w:rPr>
          <w:rFonts w:asciiTheme="majorHAnsi" w:hAnsiTheme="majorHAnsi" w:cstheme="majorHAnsi"/>
          <w:bCs/>
          <w:sz w:val="18"/>
          <w:szCs w:val="18"/>
          <w:lang w:val="en-US"/>
        </w:rPr>
        <w:t xml:space="preserve">The trade union premium: For every 20 days worked, you are entitled to a trade union premium of EUR 12.08 the following year (in July).  This premium is also calculated by the Guarantee and Social Fund </w:t>
      </w:r>
      <w:proofErr w:type="gramStart"/>
      <w:r w:rsidRPr="00EA6356">
        <w:rPr>
          <w:rFonts w:asciiTheme="majorHAnsi" w:hAnsiTheme="majorHAnsi" w:cstheme="majorHAnsi"/>
          <w:bCs/>
          <w:sz w:val="18"/>
          <w:szCs w:val="18"/>
          <w:lang w:val="en-US"/>
        </w:rPr>
        <w:t>on the basis of</w:t>
      </w:r>
      <w:proofErr w:type="gramEnd"/>
      <w:r w:rsidRPr="00EA6356">
        <w:rPr>
          <w:rFonts w:asciiTheme="majorHAnsi" w:hAnsiTheme="majorHAnsi" w:cstheme="majorHAnsi"/>
          <w:bCs/>
          <w:sz w:val="18"/>
          <w:szCs w:val="18"/>
          <w:lang w:val="en-US"/>
        </w:rPr>
        <w:t xml:space="preserve"> the employer(s)' DMFA declarations.  The premium is paid by the union to which you belong.</w:t>
      </w:r>
    </w:p>
    <w:p w14:paraId="6409DAF1" w14:textId="6409F2E6" w:rsidR="005925B8" w:rsidRPr="00554D80" w:rsidRDefault="00554D80" w:rsidP="00554D80">
      <w:pPr>
        <w:pStyle w:val="Lijstalinea"/>
        <w:numPr>
          <w:ilvl w:val="0"/>
          <w:numId w:val="12"/>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4DA14D59" w14:textId="77777777" w:rsidR="00554D80" w:rsidRPr="00554D80" w:rsidRDefault="00554D80" w:rsidP="00554D80">
      <w:pPr>
        <w:pStyle w:val="Lijstalinea"/>
        <w:tabs>
          <w:tab w:val="left" w:pos="284"/>
        </w:tabs>
        <w:spacing w:after="0" w:line="200" w:lineRule="atLeast"/>
        <w:rPr>
          <w:rFonts w:asciiTheme="majorHAnsi" w:hAnsiTheme="majorHAnsi" w:cstheme="majorHAnsi"/>
          <w:b/>
          <w:sz w:val="18"/>
          <w:szCs w:val="18"/>
          <w:lang w:val="en-US"/>
        </w:rPr>
      </w:pPr>
    </w:p>
    <w:p w14:paraId="29B2E047" w14:textId="4214C185" w:rsidR="00845743" w:rsidRDefault="00554D80" w:rsidP="00554D80">
      <w:pPr>
        <w:tabs>
          <w:tab w:val="left" w:pos="2127"/>
        </w:tabs>
        <w:spacing w:after="0" w:line="200" w:lineRule="atLeast"/>
        <w:jc w:val="both"/>
        <w:rPr>
          <w:rFonts w:asciiTheme="majorHAnsi" w:eastAsia="Times New Roman" w:hAnsiTheme="majorHAnsi" w:cstheme="majorHAnsi"/>
          <w:b/>
          <w:sz w:val="18"/>
          <w:szCs w:val="18"/>
          <w:lang w:val="en-US"/>
        </w:rPr>
      </w:pPr>
      <w:r w:rsidRPr="00554D80">
        <w:rPr>
          <w:rFonts w:asciiTheme="majorHAnsi" w:eastAsia="Times New Roman" w:hAnsiTheme="majorHAnsi" w:cstheme="majorHAnsi"/>
          <w:b/>
          <w:sz w:val="18"/>
          <w:szCs w:val="18"/>
          <w:lang w:val="en-US"/>
        </w:rPr>
        <w:t>What is a seasonal worker's wage</w:t>
      </w:r>
      <w:r w:rsidR="00EA6356" w:rsidRPr="00EA6356">
        <w:rPr>
          <w:lang w:val="en-US"/>
        </w:rPr>
        <w:t xml:space="preserve"> </w:t>
      </w:r>
      <w:r w:rsidR="00EA6356" w:rsidRPr="00EA6356">
        <w:rPr>
          <w:rFonts w:asciiTheme="majorHAnsi" w:eastAsia="Times New Roman" w:hAnsiTheme="majorHAnsi" w:cstheme="majorHAnsi"/>
          <w:bCs/>
          <w:sz w:val="18"/>
          <w:szCs w:val="18"/>
          <w:lang w:val="en-US"/>
        </w:rPr>
        <w:t xml:space="preserve">The gross hourly wage depends on the sub-sector you work in and your age.  The </w:t>
      </w:r>
      <w:proofErr w:type="spellStart"/>
      <w:r w:rsidR="00EA6356" w:rsidRPr="00EA6356">
        <w:rPr>
          <w:rFonts w:asciiTheme="majorHAnsi" w:eastAsia="Times New Roman" w:hAnsiTheme="majorHAnsi" w:cstheme="majorHAnsi"/>
          <w:bCs/>
          <w:sz w:val="18"/>
          <w:szCs w:val="18"/>
          <w:lang w:val="en-US"/>
        </w:rPr>
        <w:t>sectorally</w:t>
      </w:r>
      <w:proofErr w:type="spellEnd"/>
      <w:r w:rsidR="00EA6356" w:rsidRPr="00EA6356">
        <w:rPr>
          <w:rFonts w:asciiTheme="majorHAnsi" w:eastAsia="Times New Roman" w:hAnsiTheme="majorHAnsi" w:cstheme="majorHAnsi"/>
          <w:bCs/>
          <w:sz w:val="18"/>
          <w:szCs w:val="18"/>
          <w:lang w:val="en-US"/>
        </w:rPr>
        <w:t xml:space="preserve"> agreed minimum hourly wage is</w:t>
      </w:r>
      <w:r w:rsidR="00EA6356" w:rsidRPr="00EA6356">
        <w:rPr>
          <w:rFonts w:asciiTheme="majorHAnsi" w:eastAsia="Times New Roman" w:hAnsiTheme="majorHAnsi" w:cstheme="majorHAnsi"/>
          <w:b/>
          <w:sz w:val="18"/>
          <w:szCs w:val="18"/>
          <w:lang w:val="en-US"/>
        </w:rPr>
        <w:t xml:space="preserve">: </w:t>
      </w:r>
      <w:r w:rsidR="005A22CB" w:rsidRPr="006C357F">
        <w:rPr>
          <w:rFonts w:asciiTheme="majorHAnsi" w:eastAsia="Times New Roman" w:hAnsiTheme="majorHAnsi" w:cstheme="majorHAnsi"/>
          <w:sz w:val="18"/>
          <w:szCs w:val="18"/>
          <w:lang w:val="en-GB"/>
        </w:rPr>
        <w:t xml:space="preserve">: </w:t>
      </w:r>
      <w:r w:rsidR="006C357F" w:rsidRPr="00F01F85">
        <w:rPr>
          <w:rFonts w:asciiTheme="majorHAnsi" w:eastAsia="Times New Roman" w:hAnsiTheme="majorHAnsi" w:cstheme="majorHAnsi"/>
          <w:b/>
          <w:bCs/>
          <w:sz w:val="18"/>
          <w:szCs w:val="18"/>
        </w:rPr>
        <w:t>€</w:t>
      </w:r>
      <w:r w:rsidR="006C357F">
        <w:rPr>
          <w:rFonts w:asciiTheme="majorHAnsi" w:eastAsia="Times New Roman" w:hAnsiTheme="majorHAnsi" w:cstheme="majorHAnsi"/>
          <w:b/>
          <w:bCs/>
          <w:sz w:val="18"/>
          <w:szCs w:val="18"/>
        </w:rPr>
        <w:t xml:space="preserve"> 12,51 </w:t>
      </w:r>
      <w:r w:rsidRPr="00845743">
        <w:rPr>
          <w:rFonts w:asciiTheme="majorHAnsi" w:eastAsia="Times New Roman" w:hAnsiTheme="majorHAnsi" w:cstheme="majorHAnsi"/>
          <w:bCs/>
          <w:sz w:val="18"/>
          <w:szCs w:val="18"/>
          <w:lang w:val="en-US"/>
        </w:rPr>
        <w:t xml:space="preserve">gross. </w:t>
      </w:r>
      <w:r w:rsidR="00EA6356" w:rsidRPr="00845743">
        <w:rPr>
          <w:rFonts w:asciiTheme="majorHAnsi" w:eastAsia="Times New Roman" w:hAnsiTheme="majorHAnsi" w:cstheme="majorHAnsi"/>
          <w:bCs/>
          <w:sz w:val="18"/>
          <w:szCs w:val="18"/>
          <w:lang w:val="en-US"/>
        </w:rPr>
        <w:t>The withholding tax is up to 18.73%</w:t>
      </w:r>
      <w:r w:rsidR="00EA6356">
        <w:rPr>
          <w:rFonts w:asciiTheme="majorHAnsi" w:eastAsia="Times New Roman" w:hAnsiTheme="majorHAnsi" w:cstheme="majorHAnsi"/>
          <w:bCs/>
          <w:sz w:val="18"/>
          <w:szCs w:val="18"/>
          <w:lang w:val="en-US"/>
        </w:rPr>
        <w:t xml:space="preserve">. </w:t>
      </w:r>
      <w:r w:rsidRPr="00845743">
        <w:rPr>
          <w:rFonts w:asciiTheme="majorHAnsi" w:eastAsia="Times New Roman" w:hAnsiTheme="majorHAnsi" w:cstheme="majorHAnsi"/>
          <w:bCs/>
          <w:sz w:val="18"/>
          <w:szCs w:val="18"/>
          <w:lang w:val="en-US"/>
        </w:rPr>
        <w:t>Your wage will be paid at intervals of no more than 16 calendar days to the bank account number you provided</w:t>
      </w:r>
      <w:r w:rsidRPr="00554D80">
        <w:rPr>
          <w:rFonts w:asciiTheme="majorHAnsi" w:eastAsia="Times New Roman" w:hAnsiTheme="majorHAnsi" w:cstheme="majorHAnsi"/>
          <w:b/>
          <w:sz w:val="18"/>
          <w:szCs w:val="18"/>
          <w:lang w:val="en-US"/>
        </w:rPr>
        <w:t>.</w:t>
      </w:r>
    </w:p>
    <w:p w14:paraId="5778964A" w14:textId="77777777" w:rsidR="00845743" w:rsidRDefault="00845743" w:rsidP="00554D80">
      <w:pPr>
        <w:tabs>
          <w:tab w:val="left" w:pos="2127"/>
        </w:tabs>
        <w:spacing w:after="0" w:line="200" w:lineRule="atLeast"/>
        <w:jc w:val="both"/>
        <w:rPr>
          <w:rFonts w:asciiTheme="majorHAnsi" w:eastAsia="Times New Roman" w:hAnsiTheme="majorHAnsi" w:cstheme="majorHAnsi"/>
          <w:b/>
          <w:sz w:val="18"/>
          <w:szCs w:val="18"/>
          <w:lang w:val="en-US"/>
        </w:rPr>
      </w:pPr>
    </w:p>
    <w:p w14:paraId="0A63FC8C" w14:textId="3EA49FE6" w:rsidR="00F01F85" w:rsidRPr="00EA6356" w:rsidRDefault="00845743" w:rsidP="00EA6356">
      <w:pPr>
        <w:pStyle w:val="Lijstalinea"/>
        <w:numPr>
          <w:ilvl w:val="0"/>
          <w:numId w:val="12"/>
        </w:numPr>
        <w:tabs>
          <w:tab w:val="left" w:pos="2127"/>
        </w:tabs>
        <w:spacing w:after="0" w:line="200" w:lineRule="atLeast"/>
        <w:jc w:val="both"/>
        <w:rPr>
          <w:rFonts w:asciiTheme="majorHAnsi" w:eastAsia="Times New Roman" w:hAnsiTheme="majorHAnsi" w:cstheme="majorHAnsi"/>
          <w:bCs/>
          <w:sz w:val="18"/>
          <w:szCs w:val="18"/>
          <w:lang w:val="en-US"/>
        </w:rPr>
      </w:pPr>
      <w:r w:rsidRPr="00EA6356">
        <w:rPr>
          <w:rFonts w:asciiTheme="majorHAnsi" w:eastAsia="Times New Roman" w:hAnsiTheme="majorHAnsi" w:cstheme="majorHAnsi"/>
          <w:bCs/>
          <w:sz w:val="18"/>
          <w:szCs w:val="18"/>
          <w:lang w:val="en-US"/>
        </w:rPr>
        <w:t xml:space="preserve">A portion of your net pay will be paid in cash: </w:t>
      </w:r>
      <w:r w:rsidRPr="00EA6356">
        <w:rPr>
          <w:rFonts w:asciiTheme="majorHAnsi" w:eastAsia="Times New Roman" w:hAnsiTheme="majorHAnsi" w:cstheme="majorHAnsi"/>
          <w:b/>
          <w:sz w:val="18"/>
          <w:szCs w:val="18"/>
          <w:lang w:val="en-US"/>
        </w:rPr>
        <w:t>YES/NO</w:t>
      </w:r>
      <w:r>
        <w:rPr>
          <w:rStyle w:val="Voetnootmarkering"/>
          <w:rFonts w:asciiTheme="majorHAnsi" w:eastAsia="Times New Roman" w:hAnsiTheme="majorHAnsi"/>
          <w:b/>
          <w:sz w:val="18"/>
          <w:szCs w:val="18"/>
          <w:lang w:val="en-US"/>
        </w:rPr>
        <w:footnoteReference w:id="1"/>
      </w:r>
      <w:r w:rsidRPr="00EA6356">
        <w:rPr>
          <w:rFonts w:asciiTheme="majorHAnsi" w:eastAsia="Times New Roman" w:hAnsiTheme="majorHAnsi" w:cstheme="majorHAnsi"/>
          <w:bCs/>
          <w:sz w:val="18"/>
          <w:szCs w:val="18"/>
          <w:lang w:val="en-US"/>
        </w:rPr>
        <w:t xml:space="preserve"> .</w:t>
      </w:r>
    </w:p>
    <w:p w14:paraId="1FA2ABC6" w14:textId="77777777" w:rsidR="00EA6356" w:rsidRPr="00EA6356" w:rsidRDefault="00EA6356" w:rsidP="00EA6356">
      <w:pPr>
        <w:pStyle w:val="Lijstalinea"/>
        <w:tabs>
          <w:tab w:val="left" w:pos="2127"/>
        </w:tabs>
        <w:spacing w:after="0" w:line="200" w:lineRule="atLeast"/>
        <w:jc w:val="both"/>
        <w:rPr>
          <w:rFonts w:asciiTheme="majorHAnsi" w:eastAsia="Times New Roman" w:hAnsiTheme="majorHAnsi" w:cstheme="majorHAnsi"/>
          <w:bCs/>
          <w:sz w:val="18"/>
          <w:szCs w:val="18"/>
          <w:lang w:val="en-US"/>
        </w:rPr>
      </w:pPr>
    </w:p>
    <w:p w14:paraId="1C69AC2D" w14:textId="77777777" w:rsidR="00845743" w:rsidRPr="00845743" w:rsidRDefault="00845743" w:rsidP="00845743">
      <w:pPr>
        <w:spacing w:after="0" w:line="200" w:lineRule="atLeast"/>
        <w:jc w:val="both"/>
        <w:rPr>
          <w:rFonts w:asciiTheme="majorHAnsi" w:eastAsia="Times New Roman" w:hAnsiTheme="majorHAnsi" w:cstheme="majorHAnsi"/>
          <w:bCs/>
          <w:sz w:val="18"/>
          <w:szCs w:val="18"/>
          <w:lang w:val="en-US"/>
        </w:rPr>
      </w:pPr>
    </w:p>
    <w:p w14:paraId="2E070BF8" w14:textId="1CFF0760" w:rsidR="00F04F71" w:rsidRPr="00845743" w:rsidRDefault="00845743" w:rsidP="00845743">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sectPr w:rsidR="00F04F71" w:rsidRPr="00845743"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6C357F"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r>
      <w:fldChar w:fldCharType="begin"/>
    </w:r>
    <w:r w:rsidRPr="006C357F">
      <w:rPr>
        <w:lang w:val="en-GB"/>
      </w:rPr>
      <w:instrText>HYPERLINK "http://www.fonds-tuinbouw.be"</w:instrText>
    </w:r>
    <w:r>
      <w:fldChar w:fldCharType="separate"/>
    </w:r>
    <w:r w:rsidRPr="00AD5FA8">
      <w:rPr>
        <w:rStyle w:val="Hyperlink"/>
        <w:rFonts w:ascii="Arial" w:eastAsiaTheme="majorEastAsia" w:hAnsi="Arial" w:cs="Arial"/>
        <w:color w:val="6EA92D"/>
        <w:sz w:val="18"/>
        <w:szCs w:val="18"/>
        <w:lang w:val="en-US"/>
      </w:rPr>
      <w:t>www.fonds-tuinbouw.be</w:t>
    </w:r>
    <w:r>
      <w:fldChar w:fldCharType="end"/>
    </w:r>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43A27BE5" w14:textId="0F6F785D" w:rsidR="00845743" w:rsidRDefault="00845743">
      <w:pPr>
        <w:pStyle w:val="Voetnoottekst"/>
      </w:pPr>
      <w:r>
        <w:rPr>
          <w:rStyle w:val="Voetnootmarkering"/>
        </w:rPr>
        <w:footnoteRef/>
      </w:r>
      <w:r>
        <w:t xml:space="preserve"> </w:t>
      </w:r>
      <w:r w:rsidRPr="00845743">
        <w:t xml:space="preserve">Delete </w:t>
      </w:r>
      <w:proofErr w:type="spellStart"/>
      <w:r w:rsidRPr="00845743">
        <w:t>what</w:t>
      </w:r>
      <w:proofErr w:type="spellEnd"/>
      <w:r w:rsidRPr="00845743">
        <w:t xml:space="preserve"> does NOT 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5826E5A"/>
    <w:multiLevelType w:val="hybridMultilevel"/>
    <w:tmpl w:val="D56C3AA4"/>
    <w:lvl w:ilvl="0" w:tplc="08130001">
      <w:start w:val="1"/>
      <w:numFmt w:val="bullet"/>
      <w:lvlText w:val=""/>
      <w:lvlJc w:val="left"/>
      <w:pPr>
        <w:ind w:left="644" w:hanging="360"/>
      </w:pPr>
      <w:rPr>
        <w:rFonts w:ascii="Symbol" w:hAnsi="Symbol" w:hint="default"/>
      </w:rPr>
    </w:lvl>
    <w:lvl w:ilvl="1" w:tplc="0813000D">
      <w:start w:val="1"/>
      <w:numFmt w:val="bullet"/>
      <w:lvlText w:val=""/>
      <w:lvlJc w:val="left"/>
      <w:pPr>
        <w:ind w:left="1364" w:hanging="360"/>
      </w:pPr>
      <w:rPr>
        <w:rFonts w:ascii="Wingdings" w:hAnsi="Wingdings" w:hint="default"/>
      </w:rPr>
    </w:lvl>
    <w:lvl w:ilvl="2" w:tplc="08130003">
      <w:start w:val="1"/>
      <w:numFmt w:val="bullet"/>
      <w:lvlText w:val="o"/>
      <w:lvlJc w:val="left"/>
      <w:pPr>
        <w:ind w:left="1440" w:hanging="360"/>
      </w:pPr>
      <w:rPr>
        <w:rFonts w:ascii="Courier New" w:hAnsi="Courier New" w:cs="Courier New"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9"/>
  </w:num>
  <w:num w:numId="4" w16cid:durableId="1691561870">
    <w:abstractNumId w:val="2"/>
  </w:num>
  <w:num w:numId="5" w16cid:durableId="1198272903">
    <w:abstractNumId w:val="10"/>
  </w:num>
  <w:num w:numId="6" w16cid:durableId="1576743989">
    <w:abstractNumId w:val="8"/>
  </w:num>
  <w:num w:numId="7" w16cid:durableId="363749199">
    <w:abstractNumId w:val="4"/>
  </w:num>
  <w:num w:numId="8" w16cid:durableId="1681277496">
    <w:abstractNumId w:val="1"/>
  </w:num>
  <w:num w:numId="9" w16cid:durableId="531845727">
    <w:abstractNumId w:val="11"/>
  </w:num>
  <w:num w:numId="10" w16cid:durableId="815031225">
    <w:abstractNumId w:val="0"/>
  </w:num>
  <w:num w:numId="11" w16cid:durableId="214464367">
    <w:abstractNumId w:val="7"/>
  </w:num>
  <w:num w:numId="12" w16cid:durableId="2079479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0C2E45"/>
    <w:rsid w:val="00166F2B"/>
    <w:rsid w:val="001F185B"/>
    <w:rsid w:val="001F680A"/>
    <w:rsid w:val="00212E5F"/>
    <w:rsid w:val="0022749B"/>
    <w:rsid w:val="00240AEB"/>
    <w:rsid w:val="00255310"/>
    <w:rsid w:val="0028558E"/>
    <w:rsid w:val="002934C1"/>
    <w:rsid w:val="002C4A46"/>
    <w:rsid w:val="002D0E1F"/>
    <w:rsid w:val="00335EB7"/>
    <w:rsid w:val="00364548"/>
    <w:rsid w:val="003709A7"/>
    <w:rsid w:val="003A3ED9"/>
    <w:rsid w:val="003A49D3"/>
    <w:rsid w:val="0044215F"/>
    <w:rsid w:val="00481B1D"/>
    <w:rsid w:val="004B76A8"/>
    <w:rsid w:val="004E1A20"/>
    <w:rsid w:val="005529F6"/>
    <w:rsid w:val="00554D80"/>
    <w:rsid w:val="00555541"/>
    <w:rsid w:val="005925B8"/>
    <w:rsid w:val="00594DA5"/>
    <w:rsid w:val="005A22CB"/>
    <w:rsid w:val="005C512A"/>
    <w:rsid w:val="005D676B"/>
    <w:rsid w:val="0062761F"/>
    <w:rsid w:val="00655B30"/>
    <w:rsid w:val="00696572"/>
    <w:rsid w:val="006A01C7"/>
    <w:rsid w:val="006C357F"/>
    <w:rsid w:val="00741E94"/>
    <w:rsid w:val="00760FF4"/>
    <w:rsid w:val="007A6EB1"/>
    <w:rsid w:val="00845743"/>
    <w:rsid w:val="0088091F"/>
    <w:rsid w:val="008B7BCC"/>
    <w:rsid w:val="008C6999"/>
    <w:rsid w:val="008E6671"/>
    <w:rsid w:val="009030FD"/>
    <w:rsid w:val="00923830"/>
    <w:rsid w:val="009502AC"/>
    <w:rsid w:val="00A15A82"/>
    <w:rsid w:val="00A32E81"/>
    <w:rsid w:val="00A549C4"/>
    <w:rsid w:val="00AA4E9E"/>
    <w:rsid w:val="00B06044"/>
    <w:rsid w:val="00B47CE0"/>
    <w:rsid w:val="00B6364E"/>
    <w:rsid w:val="00B7153E"/>
    <w:rsid w:val="00B751A7"/>
    <w:rsid w:val="00BA47BB"/>
    <w:rsid w:val="00C60176"/>
    <w:rsid w:val="00CE26A5"/>
    <w:rsid w:val="00D434F5"/>
    <w:rsid w:val="00D7411C"/>
    <w:rsid w:val="00D81514"/>
    <w:rsid w:val="00E024CF"/>
    <w:rsid w:val="00E43252"/>
    <w:rsid w:val="00E868FD"/>
    <w:rsid w:val="00E92313"/>
    <w:rsid w:val="00E959B6"/>
    <w:rsid w:val="00EA43FE"/>
    <w:rsid w:val="00EA6356"/>
    <w:rsid w:val="00EB7D34"/>
    <w:rsid w:val="00EE5E48"/>
    <w:rsid w:val="00EF5303"/>
    <w:rsid w:val="00F01F85"/>
    <w:rsid w:val="00F04F71"/>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2026-01-12T15:29:00Z</dcterms:created>
  <dcterms:modified xsi:type="dcterms:W3CDTF">2026-01-12T15:29:00Z</dcterms:modified>
</cp:coreProperties>
</file>